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47034D" w14:textId="77777777" w:rsidR="00C5640F" w:rsidRPr="00C5640F" w:rsidRDefault="00C5640F" w:rsidP="00C5640F">
      <w:pPr>
        <w:spacing w:line="480" w:lineRule="auto"/>
        <w:ind w:firstLine="720"/>
        <w:jc w:val="both"/>
        <w:rPr>
          <w:rFonts w:ascii="Times New Roman" w:hAnsi="Times New Roman" w:cs="Times New Roman"/>
          <w:sz w:val="24"/>
          <w:szCs w:val="24"/>
        </w:rPr>
      </w:pPr>
    </w:p>
    <w:p w14:paraId="56565BCA" w14:textId="77777777" w:rsidR="00C5640F" w:rsidRPr="00C5640F" w:rsidRDefault="00C5640F" w:rsidP="00C5640F">
      <w:pPr>
        <w:spacing w:line="480" w:lineRule="auto"/>
        <w:ind w:firstLine="720"/>
        <w:jc w:val="both"/>
        <w:rPr>
          <w:rFonts w:ascii="Times New Roman" w:hAnsi="Times New Roman" w:cs="Times New Roman"/>
          <w:sz w:val="24"/>
          <w:szCs w:val="24"/>
        </w:rPr>
      </w:pPr>
    </w:p>
    <w:p w14:paraId="4A0C44C7" w14:textId="77777777" w:rsidR="00C5640F" w:rsidRPr="00C5640F" w:rsidRDefault="00C5640F" w:rsidP="00C5640F">
      <w:pPr>
        <w:spacing w:line="480" w:lineRule="auto"/>
        <w:ind w:firstLine="720"/>
        <w:jc w:val="both"/>
        <w:rPr>
          <w:rFonts w:ascii="Times New Roman" w:hAnsi="Times New Roman" w:cs="Times New Roman"/>
          <w:sz w:val="24"/>
          <w:szCs w:val="24"/>
        </w:rPr>
      </w:pPr>
    </w:p>
    <w:p w14:paraId="53B76274" w14:textId="77777777" w:rsidR="00C5640F" w:rsidRPr="00C5640F" w:rsidRDefault="00C5640F" w:rsidP="00C5640F">
      <w:pPr>
        <w:spacing w:line="480" w:lineRule="auto"/>
        <w:ind w:firstLine="720"/>
        <w:jc w:val="both"/>
        <w:rPr>
          <w:rFonts w:ascii="Times New Roman" w:hAnsi="Times New Roman" w:cs="Times New Roman"/>
          <w:sz w:val="24"/>
          <w:szCs w:val="24"/>
        </w:rPr>
      </w:pPr>
    </w:p>
    <w:p w14:paraId="3D48E604" w14:textId="77777777" w:rsidR="00C5640F" w:rsidRPr="00C5640F" w:rsidRDefault="00C5640F" w:rsidP="00C5640F">
      <w:pPr>
        <w:spacing w:line="480" w:lineRule="auto"/>
        <w:ind w:firstLine="720"/>
        <w:jc w:val="both"/>
        <w:rPr>
          <w:rFonts w:ascii="Times New Roman" w:hAnsi="Times New Roman" w:cs="Times New Roman"/>
          <w:sz w:val="24"/>
          <w:szCs w:val="24"/>
        </w:rPr>
      </w:pPr>
    </w:p>
    <w:p w14:paraId="30ACF42E" w14:textId="77777777" w:rsidR="00C5640F" w:rsidRDefault="00C5640F" w:rsidP="00C5640F">
      <w:pPr>
        <w:spacing w:line="480" w:lineRule="auto"/>
        <w:ind w:firstLine="720"/>
        <w:jc w:val="both"/>
        <w:rPr>
          <w:rFonts w:ascii="Times New Roman" w:hAnsi="Times New Roman" w:cs="Times New Roman"/>
          <w:sz w:val="24"/>
          <w:szCs w:val="24"/>
        </w:rPr>
      </w:pPr>
    </w:p>
    <w:p w14:paraId="7620628C" w14:textId="77777777" w:rsidR="00C5640F" w:rsidRPr="00C5640F" w:rsidRDefault="00C5640F" w:rsidP="00C5640F">
      <w:pPr>
        <w:spacing w:line="480" w:lineRule="auto"/>
        <w:ind w:firstLine="720"/>
        <w:jc w:val="both"/>
        <w:rPr>
          <w:rFonts w:ascii="Times New Roman" w:hAnsi="Times New Roman" w:cs="Times New Roman"/>
          <w:sz w:val="24"/>
          <w:szCs w:val="24"/>
        </w:rPr>
      </w:pPr>
    </w:p>
    <w:p w14:paraId="53718CE5" w14:textId="77777777" w:rsidR="00C5640F" w:rsidRPr="00C5640F" w:rsidRDefault="002F264B" w:rsidP="00C5640F">
      <w:pPr>
        <w:spacing w:line="480" w:lineRule="auto"/>
        <w:ind w:firstLine="720"/>
        <w:jc w:val="center"/>
        <w:rPr>
          <w:rFonts w:ascii="Times New Roman" w:hAnsi="Times New Roman" w:cs="Times New Roman"/>
          <w:sz w:val="24"/>
          <w:szCs w:val="24"/>
        </w:rPr>
      </w:pPr>
      <w:r w:rsidRPr="00C5640F">
        <w:rPr>
          <w:rFonts w:ascii="Times New Roman" w:hAnsi="Times New Roman" w:cs="Times New Roman"/>
          <w:sz w:val="24"/>
          <w:szCs w:val="24"/>
        </w:rPr>
        <w:t>Name</w:t>
      </w:r>
    </w:p>
    <w:p w14:paraId="463706BB" w14:textId="77777777" w:rsidR="00C5640F" w:rsidRPr="00C5640F" w:rsidRDefault="002F264B" w:rsidP="00C5640F">
      <w:pPr>
        <w:spacing w:line="480" w:lineRule="auto"/>
        <w:ind w:firstLine="720"/>
        <w:jc w:val="center"/>
        <w:rPr>
          <w:rFonts w:ascii="Times New Roman" w:hAnsi="Times New Roman" w:cs="Times New Roman"/>
          <w:sz w:val="24"/>
          <w:szCs w:val="24"/>
        </w:rPr>
      </w:pPr>
      <w:r w:rsidRPr="00C5640F">
        <w:rPr>
          <w:rFonts w:ascii="Times New Roman" w:hAnsi="Times New Roman" w:cs="Times New Roman"/>
          <w:sz w:val="24"/>
          <w:szCs w:val="24"/>
        </w:rPr>
        <w:t>Institution</w:t>
      </w:r>
    </w:p>
    <w:p w14:paraId="480A1018" w14:textId="77777777" w:rsidR="00C5640F" w:rsidRPr="00C5640F" w:rsidRDefault="002F264B" w:rsidP="00C5640F">
      <w:pPr>
        <w:spacing w:line="480" w:lineRule="auto"/>
        <w:ind w:firstLine="720"/>
        <w:jc w:val="center"/>
        <w:rPr>
          <w:rFonts w:ascii="Times New Roman" w:hAnsi="Times New Roman" w:cs="Times New Roman"/>
          <w:sz w:val="24"/>
          <w:szCs w:val="24"/>
        </w:rPr>
      </w:pPr>
      <w:r w:rsidRPr="00C5640F">
        <w:rPr>
          <w:rFonts w:ascii="Times New Roman" w:hAnsi="Times New Roman" w:cs="Times New Roman"/>
          <w:sz w:val="24"/>
          <w:szCs w:val="24"/>
        </w:rPr>
        <w:t>Course</w:t>
      </w:r>
    </w:p>
    <w:p w14:paraId="45185298" w14:textId="77777777" w:rsidR="00C5640F" w:rsidRPr="00C5640F" w:rsidRDefault="002F264B" w:rsidP="00C5640F">
      <w:pPr>
        <w:spacing w:line="480" w:lineRule="auto"/>
        <w:ind w:firstLine="720"/>
        <w:jc w:val="center"/>
        <w:rPr>
          <w:rFonts w:ascii="Times New Roman" w:hAnsi="Times New Roman" w:cs="Times New Roman"/>
          <w:sz w:val="24"/>
          <w:szCs w:val="24"/>
        </w:rPr>
      </w:pPr>
      <w:r w:rsidRPr="00C5640F">
        <w:rPr>
          <w:rFonts w:ascii="Times New Roman" w:hAnsi="Times New Roman" w:cs="Times New Roman"/>
          <w:sz w:val="24"/>
          <w:szCs w:val="24"/>
        </w:rPr>
        <w:t>Date</w:t>
      </w:r>
    </w:p>
    <w:p w14:paraId="51255DF2" w14:textId="77777777" w:rsidR="00C5640F" w:rsidRPr="00C5640F" w:rsidRDefault="00C5640F" w:rsidP="00C5640F">
      <w:pPr>
        <w:spacing w:line="480" w:lineRule="auto"/>
        <w:ind w:firstLine="720"/>
        <w:jc w:val="center"/>
        <w:rPr>
          <w:rFonts w:ascii="Times New Roman" w:hAnsi="Times New Roman" w:cs="Times New Roman"/>
          <w:sz w:val="24"/>
          <w:szCs w:val="24"/>
        </w:rPr>
      </w:pPr>
    </w:p>
    <w:p w14:paraId="2191E6C1" w14:textId="77777777" w:rsidR="00C5640F" w:rsidRPr="00C5640F" w:rsidRDefault="00C5640F" w:rsidP="00C5640F">
      <w:pPr>
        <w:spacing w:line="480" w:lineRule="auto"/>
        <w:ind w:firstLine="720"/>
        <w:jc w:val="center"/>
        <w:rPr>
          <w:rFonts w:ascii="Times New Roman" w:hAnsi="Times New Roman" w:cs="Times New Roman"/>
          <w:sz w:val="24"/>
          <w:szCs w:val="24"/>
        </w:rPr>
      </w:pPr>
    </w:p>
    <w:p w14:paraId="754E4BC8" w14:textId="77777777" w:rsidR="00C5640F" w:rsidRPr="00C5640F" w:rsidRDefault="00C5640F" w:rsidP="00C5640F">
      <w:pPr>
        <w:spacing w:line="480" w:lineRule="auto"/>
        <w:ind w:firstLine="720"/>
        <w:jc w:val="both"/>
        <w:rPr>
          <w:rFonts w:ascii="Times New Roman" w:hAnsi="Times New Roman" w:cs="Times New Roman"/>
          <w:sz w:val="24"/>
          <w:szCs w:val="24"/>
        </w:rPr>
      </w:pPr>
    </w:p>
    <w:p w14:paraId="57BE3768" w14:textId="77777777" w:rsidR="00C5640F" w:rsidRPr="00C5640F" w:rsidRDefault="00C5640F" w:rsidP="00C5640F">
      <w:pPr>
        <w:spacing w:line="480" w:lineRule="auto"/>
        <w:ind w:firstLine="720"/>
        <w:jc w:val="both"/>
        <w:rPr>
          <w:rFonts w:ascii="Times New Roman" w:hAnsi="Times New Roman" w:cs="Times New Roman"/>
          <w:sz w:val="24"/>
          <w:szCs w:val="24"/>
        </w:rPr>
      </w:pPr>
    </w:p>
    <w:p w14:paraId="37608572" w14:textId="77777777" w:rsidR="00C5640F" w:rsidRPr="00C5640F" w:rsidRDefault="00C5640F" w:rsidP="00C5640F">
      <w:pPr>
        <w:spacing w:line="480" w:lineRule="auto"/>
        <w:ind w:firstLine="720"/>
        <w:jc w:val="both"/>
        <w:rPr>
          <w:rFonts w:ascii="Times New Roman" w:hAnsi="Times New Roman" w:cs="Times New Roman"/>
          <w:sz w:val="24"/>
          <w:szCs w:val="24"/>
        </w:rPr>
      </w:pPr>
    </w:p>
    <w:p w14:paraId="0CEC3923" w14:textId="77777777" w:rsidR="00C5640F" w:rsidRPr="00C5640F" w:rsidRDefault="00C5640F" w:rsidP="00C5640F">
      <w:pPr>
        <w:spacing w:line="480" w:lineRule="auto"/>
        <w:jc w:val="both"/>
        <w:rPr>
          <w:rFonts w:ascii="Times New Roman" w:hAnsi="Times New Roman" w:cs="Times New Roman"/>
          <w:sz w:val="24"/>
          <w:szCs w:val="24"/>
        </w:rPr>
      </w:pPr>
    </w:p>
    <w:p w14:paraId="5D58BB92" w14:textId="77777777" w:rsidR="00000748" w:rsidRPr="00C5640F" w:rsidRDefault="002F264B" w:rsidP="00C5640F">
      <w:pPr>
        <w:spacing w:line="480" w:lineRule="auto"/>
        <w:ind w:firstLine="720"/>
        <w:jc w:val="both"/>
        <w:rPr>
          <w:rFonts w:ascii="Times New Roman" w:hAnsi="Times New Roman" w:cs="Times New Roman"/>
          <w:sz w:val="24"/>
          <w:szCs w:val="24"/>
        </w:rPr>
      </w:pPr>
      <w:r w:rsidRPr="00C5640F">
        <w:rPr>
          <w:rFonts w:ascii="Times New Roman" w:hAnsi="Times New Roman" w:cs="Times New Roman"/>
          <w:sz w:val="24"/>
          <w:szCs w:val="24"/>
        </w:rPr>
        <w:lastRenderedPageBreak/>
        <w:t>A case concerning asset recovery in a company is presented before the Supreme Court of the United States of America. According to the prosecutor, a company is said to have been in a big crisis</w:t>
      </w:r>
      <w:r w:rsidR="00CC689D" w:rsidRPr="00C5640F">
        <w:rPr>
          <w:rFonts w:ascii="Times New Roman" w:hAnsi="Times New Roman" w:cs="Times New Roman"/>
          <w:sz w:val="24"/>
          <w:szCs w:val="24"/>
        </w:rPr>
        <w:t xml:space="preserve">. </w:t>
      </w:r>
      <w:r w:rsidRPr="00C5640F">
        <w:rPr>
          <w:rFonts w:ascii="Times New Roman" w:hAnsi="Times New Roman" w:cs="Times New Roman"/>
          <w:sz w:val="24"/>
          <w:szCs w:val="24"/>
        </w:rPr>
        <w:t>The four shareholders were to contribute a given percentage of money to help in the situation. Unfortunately, three</w:t>
      </w:r>
      <w:r w:rsidR="00CC689D" w:rsidRPr="00C5640F">
        <w:rPr>
          <w:rFonts w:ascii="Times New Roman" w:hAnsi="Times New Roman" w:cs="Times New Roman"/>
          <w:sz w:val="24"/>
          <w:szCs w:val="24"/>
        </w:rPr>
        <w:t xml:space="preserve"> of them claimed to be bankrupt and decided one </w:t>
      </w:r>
      <w:r w:rsidRPr="00C5640F">
        <w:rPr>
          <w:rFonts w:ascii="Times New Roman" w:hAnsi="Times New Roman" w:cs="Times New Roman"/>
          <w:sz w:val="24"/>
          <w:szCs w:val="24"/>
        </w:rPr>
        <w:t>sha</w:t>
      </w:r>
      <w:r w:rsidR="00E81DA9">
        <w:rPr>
          <w:rFonts w:ascii="Times New Roman" w:hAnsi="Times New Roman" w:cs="Times New Roman"/>
          <w:sz w:val="24"/>
          <w:szCs w:val="24"/>
        </w:rPr>
        <w:t xml:space="preserve">reholder to lease the company </w:t>
      </w:r>
      <w:r w:rsidRPr="00C5640F">
        <w:rPr>
          <w:rFonts w:ascii="Times New Roman" w:hAnsi="Times New Roman" w:cs="Times New Roman"/>
          <w:sz w:val="24"/>
          <w:szCs w:val="24"/>
        </w:rPr>
        <w:t xml:space="preserve">funds to be compensated later, with the company </w:t>
      </w:r>
      <w:r w:rsidR="003946D6" w:rsidRPr="00C5640F">
        <w:rPr>
          <w:rFonts w:ascii="Times New Roman" w:hAnsi="Times New Roman" w:cs="Times New Roman"/>
          <w:sz w:val="24"/>
          <w:szCs w:val="24"/>
        </w:rPr>
        <w:t>as the loan security</w:t>
      </w:r>
      <w:r w:rsidRPr="00C5640F">
        <w:rPr>
          <w:rFonts w:ascii="Times New Roman" w:hAnsi="Times New Roman" w:cs="Times New Roman"/>
          <w:sz w:val="24"/>
          <w:szCs w:val="24"/>
        </w:rPr>
        <w:t xml:space="preserve"> </w:t>
      </w:r>
      <w:r w:rsidR="003946D6" w:rsidRPr="00C5640F">
        <w:rPr>
          <w:rFonts w:ascii="Times New Roman" w:hAnsi="Times New Roman" w:cs="Times New Roman"/>
          <w:sz w:val="24"/>
          <w:szCs w:val="24"/>
        </w:rPr>
        <w:t>(</w:t>
      </w:r>
      <w:r w:rsidR="003946D6" w:rsidRPr="00C5640F">
        <w:rPr>
          <w:rFonts w:ascii="Times New Roman" w:hAnsi="Times New Roman" w:cs="Times New Roman"/>
          <w:sz w:val="24"/>
          <w:szCs w:val="24"/>
          <w:shd w:val="clear" w:color="auto" w:fill="FFFFFF"/>
        </w:rPr>
        <w:t>Lindsay, 2018). </w:t>
      </w:r>
      <w:r w:rsidRPr="00C5640F">
        <w:rPr>
          <w:rFonts w:ascii="Times New Roman" w:hAnsi="Times New Roman" w:cs="Times New Roman"/>
          <w:sz w:val="24"/>
          <w:szCs w:val="24"/>
        </w:rPr>
        <w:t>Time went, and the shareholder claimed to own the company alone since he was not compensated</w:t>
      </w:r>
      <w:r w:rsidR="00B850D9" w:rsidRPr="00C5640F">
        <w:rPr>
          <w:rFonts w:ascii="Times New Roman" w:hAnsi="Times New Roman" w:cs="Times New Roman"/>
          <w:sz w:val="24"/>
          <w:szCs w:val="24"/>
        </w:rPr>
        <w:t xml:space="preserve">; therefore, he presented the </w:t>
      </w:r>
      <w:r w:rsidR="00CC689D" w:rsidRPr="00C5640F">
        <w:rPr>
          <w:rFonts w:ascii="Times New Roman" w:hAnsi="Times New Roman" w:cs="Times New Roman"/>
          <w:sz w:val="24"/>
          <w:szCs w:val="24"/>
        </w:rPr>
        <w:t>verdict in</w:t>
      </w:r>
      <w:r w:rsidRPr="00C5640F">
        <w:rPr>
          <w:rFonts w:ascii="Times New Roman" w:hAnsi="Times New Roman" w:cs="Times New Roman"/>
          <w:sz w:val="24"/>
          <w:szCs w:val="24"/>
        </w:rPr>
        <w:t xml:space="preserve"> the </w:t>
      </w:r>
      <w:r w:rsidR="00CC689D" w:rsidRPr="00C5640F">
        <w:rPr>
          <w:rFonts w:ascii="Times New Roman" w:hAnsi="Times New Roman" w:cs="Times New Roman"/>
          <w:sz w:val="24"/>
          <w:szCs w:val="24"/>
        </w:rPr>
        <w:t>Supreme Court</w:t>
      </w:r>
      <w:r w:rsidRPr="00C5640F">
        <w:rPr>
          <w:rFonts w:ascii="Times New Roman" w:hAnsi="Times New Roman" w:cs="Times New Roman"/>
          <w:sz w:val="24"/>
          <w:szCs w:val="24"/>
        </w:rPr>
        <w:t xml:space="preserve"> because the oth</w:t>
      </w:r>
      <w:r w:rsidR="003946D6" w:rsidRPr="00C5640F">
        <w:rPr>
          <w:rFonts w:ascii="Times New Roman" w:hAnsi="Times New Roman" w:cs="Times New Roman"/>
          <w:sz w:val="24"/>
          <w:szCs w:val="24"/>
        </w:rPr>
        <w:t>er shareholders were against it</w:t>
      </w:r>
      <w:r w:rsidR="003946D6" w:rsidRPr="00C5640F">
        <w:rPr>
          <w:rFonts w:ascii="Times New Roman" w:hAnsi="Times New Roman" w:cs="Times New Roman"/>
          <w:sz w:val="24"/>
          <w:szCs w:val="24"/>
          <w:shd w:val="clear" w:color="auto" w:fill="FFFFFF"/>
        </w:rPr>
        <w:t xml:space="preserve"> (Van, 2016). </w:t>
      </w:r>
    </w:p>
    <w:p w14:paraId="41A668F6" w14:textId="77777777" w:rsidR="003B6CFD" w:rsidRDefault="002F264B" w:rsidP="003B6CFD">
      <w:pPr>
        <w:spacing w:line="480" w:lineRule="auto"/>
        <w:ind w:firstLine="720"/>
        <w:jc w:val="both"/>
        <w:rPr>
          <w:rFonts w:ascii="Times New Roman" w:hAnsi="Times New Roman" w:cs="Times New Roman"/>
          <w:sz w:val="24"/>
          <w:szCs w:val="24"/>
        </w:rPr>
      </w:pPr>
      <w:r w:rsidRPr="00C5640F">
        <w:rPr>
          <w:rFonts w:ascii="Times New Roman" w:hAnsi="Times New Roman" w:cs="Times New Roman"/>
          <w:sz w:val="24"/>
          <w:szCs w:val="24"/>
        </w:rPr>
        <w:t xml:space="preserve">According to the case statement, it is a fact that the shareholders had engaged and agreed on the loan to the company because they had all signed. Also, they had given the shareholder the company as the loan security. In procedural history, the plaintiff had to file a case, </w:t>
      </w:r>
      <w:r w:rsidR="00CF076A" w:rsidRPr="00C5640F">
        <w:rPr>
          <w:rFonts w:ascii="Times New Roman" w:hAnsi="Times New Roman" w:cs="Times New Roman"/>
          <w:sz w:val="24"/>
          <w:szCs w:val="24"/>
        </w:rPr>
        <w:t>and they were to avail themselves</w:t>
      </w:r>
      <w:r w:rsidR="00C5640F" w:rsidRPr="00C5640F">
        <w:rPr>
          <w:rFonts w:ascii="Times New Roman" w:hAnsi="Times New Roman" w:cs="Times New Roman"/>
          <w:sz w:val="24"/>
          <w:szCs w:val="24"/>
        </w:rPr>
        <w:t xml:space="preserve"> for a court hearing</w:t>
      </w:r>
      <w:r w:rsidR="00C5640F" w:rsidRPr="00C5640F">
        <w:rPr>
          <w:rFonts w:ascii="Times New Roman" w:hAnsi="Times New Roman" w:cs="Times New Roman"/>
          <w:sz w:val="24"/>
          <w:szCs w:val="24"/>
          <w:shd w:val="clear" w:color="auto" w:fill="FFFFFF"/>
        </w:rPr>
        <w:t xml:space="preserve"> (Resnik, 2014). I</w:t>
      </w:r>
      <w:r w:rsidR="00C5640F" w:rsidRPr="00C5640F">
        <w:rPr>
          <w:rFonts w:ascii="Times New Roman" w:hAnsi="Times New Roman" w:cs="Times New Roman"/>
          <w:sz w:val="24"/>
          <w:szCs w:val="24"/>
        </w:rPr>
        <w:t>n</w:t>
      </w:r>
      <w:r w:rsidR="00CF076A" w:rsidRPr="00C5640F">
        <w:rPr>
          <w:rFonts w:ascii="Times New Roman" w:hAnsi="Times New Roman" w:cs="Times New Roman"/>
          <w:sz w:val="24"/>
          <w:szCs w:val="24"/>
        </w:rPr>
        <w:t xml:space="preserve"> the presented issue, the court discusses company ownership and individuals shares in the company. Under the holding, the company is granted to the plaintiff by the company. In legal reasoning, the company used the evidence provided by the plaintiff, and it concluded there. The court applied the rule of law by granting the company to the plaintiff whose shares were more than 51%. </w:t>
      </w:r>
      <w:r w:rsidR="003946D6" w:rsidRPr="00C5640F">
        <w:rPr>
          <w:rFonts w:ascii="Times New Roman" w:hAnsi="Times New Roman" w:cs="Times New Roman"/>
          <w:sz w:val="24"/>
          <w:szCs w:val="24"/>
        </w:rPr>
        <w:t>Concurring opinion occurs when the judge concludes by presenting the company to the plaintiff because he considered him a loyal shareholder because he sacrificed to loan the company since he needed the company to thrive well.</w:t>
      </w:r>
      <w:r w:rsidR="003B6CFD">
        <w:rPr>
          <w:rFonts w:ascii="Times New Roman" w:hAnsi="Times New Roman" w:cs="Times New Roman"/>
          <w:sz w:val="24"/>
          <w:szCs w:val="24"/>
        </w:rPr>
        <w:br w:type="page"/>
      </w:r>
    </w:p>
    <w:p w14:paraId="227E5912" w14:textId="7936AD61" w:rsidR="003946D6" w:rsidRPr="00C5640F" w:rsidRDefault="002F264B" w:rsidP="003B6CFD">
      <w:pPr>
        <w:spacing w:line="480" w:lineRule="auto"/>
        <w:ind w:firstLine="720"/>
        <w:jc w:val="center"/>
        <w:rPr>
          <w:rFonts w:ascii="Times New Roman" w:hAnsi="Times New Roman" w:cs="Times New Roman"/>
          <w:sz w:val="24"/>
          <w:szCs w:val="24"/>
        </w:rPr>
      </w:pPr>
      <w:r w:rsidRPr="00C5640F">
        <w:rPr>
          <w:rFonts w:ascii="Times New Roman" w:hAnsi="Times New Roman" w:cs="Times New Roman"/>
          <w:sz w:val="24"/>
          <w:szCs w:val="24"/>
        </w:rPr>
        <w:lastRenderedPageBreak/>
        <w:t>Reference</w:t>
      </w:r>
    </w:p>
    <w:p w14:paraId="642BCFEB" w14:textId="77777777" w:rsidR="00C5640F" w:rsidRPr="00C5640F" w:rsidRDefault="002F264B" w:rsidP="00C5640F">
      <w:pPr>
        <w:spacing w:line="480" w:lineRule="auto"/>
        <w:ind w:left="720" w:hanging="720"/>
        <w:jc w:val="both"/>
        <w:rPr>
          <w:rFonts w:ascii="Times New Roman" w:hAnsi="Times New Roman" w:cs="Times New Roman"/>
          <w:sz w:val="24"/>
          <w:szCs w:val="24"/>
          <w:shd w:val="clear" w:color="auto" w:fill="FFFFFF"/>
        </w:rPr>
      </w:pPr>
      <w:r w:rsidRPr="00C5640F">
        <w:rPr>
          <w:rFonts w:ascii="Times New Roman" w:hAnsi="Times New Roman" w:cs="Times New Roman"/>
          <w:sz w:val="24"/>
          <w:szCs w:val="24"/>
          <w:shd w:val="clear" w:color="auto" w:fill="FFFFFF"/>
        </w:rPr>
        <w:t>Lindsay, J. D. (2018). </w:t>
      </w:r>
      <w:r w:rsidRPr="00C5640F">
        <w:rPr>
          <w:rFonts w:ascii="Times New Roman" w:hAnsi="Times New Roman" w:cs="Times New Roman"/>
          <w:i/>
          <w:iCs/>
          <w:sz w:val="24"/>
          <w:szCs w:val="24"/>
          <w:shd w:val="clear" w:color="auto" w:fill="FFFFFF"/>
        </w:rPr>
        <w:t>U.S. Patent No. 9,959,694</w:t>
      </w:r>
      <w:r w:rsidRPr="00C5640F">
        <w:rPr>
          <w:rFonts w:ascii="Times New Roman" w:hAnsi="Times New Roman" w:cs="Times New Roman"/>
          <w:sz w:val="24"/>
          <w:szCs w:val="24"/>
          <w:shd w:val="clear" w:color="auto" w:fill="FFFFFF"/>
        </w:rPr>
        <w:t>. Washington, DC: U.S. Patent and Trademark Office.</w:t>
      </w:r>
    </w:p>
    <w:p w14:paraId="7FD4560A" w14:textId="77777777" w:rsidR="00C5640F" w:rsidRPr="00C5640F" w:rsidRDefault="002F264B" w:rsidP="00C5640F">
      <w:pPr>
        <w:spacing w:line="480" w:lineRule="auto"/>
        <w:ind w:left="720" w:hanging="720"/>
        <w:jc w:val="both"/>
        <w:rPr>
          <w:rFonts w:ascii="Times New Roman" w:hAnsi="Times New Roman" w:cs="Times New Roman"/>
          <w:sz w:val="24"/>
          <w:szCs w:val="24"/>
        </w:rPr>
      </w:pPr>
      <w:r w:rsidRPr="00C5640F">
        <w:rPr>
          <w:rFonts w:ascii="Times New Roman" w:hAnsi="Times New Roman" w:cs="Times New Roman"/>
          <w:sz w:val="24"/>
          <w:szCs w:val="24"/>
          <w:shd w:val="clear" w:color="auto" w:fill="FFFFFF"/>
        </w:rPr>
        <w:t>Resnik, J. (2014). Diffusing disputes: The public in the private of arbitration, the private in courts, and the erasure of rights. </w:t>
      </w:r>
      <w:r w:rsidRPr="00C5640F">
        <w:rPr>
          <w:rFonts w:ascii="Times New Roman" w:hAnsi="Times New Roman" w:cs="Times New Roman"/>
          <w:i/>
          <w:iCs/>
          <w:sz w:val="24"/>
          <w:szCs w:val="24"/>
          <w:shd w:val="clear" w:color="auto" w:fill="FFFFFF"/>
        </w:rPr>
        <w:t>Yale LJ</w:t>
      </w:r>
      <w:r w:rsidRPr="00C5640F">
        <w:rPr>
          <w:rFonts w:ascii="Times New Roman" w:hAnsi="Times New Roman" w:cs="Times New Roman"/>
          <w:sz w:val="24"/>
          <w:szCs w:val="24"/>
          <w:shd w:val="clear" w:color="auto" w:fill="FFFFFF"/>
        </w:rPr>
        <w:t>, </w:t>
      </w:r>
      <w:r w:rsidRPr="00C5640F">
        <w:rPr>
          <w:rFonts w:ascii="Times New Roman" w:hAnsi="Times New Roman" w:cs="Times New Roman"/>
          <w:i/>
          <w:iCs/>
          <w:sz w:val="24"/>
          <w:szCs w:val="24"/>
          <w:shd w:val="clear" w:color="auto" w:fill="FFFFFF"/>
        </w:rPr>
        <w:t>124</w:t>
      </w:r>
      <w:r w:rsidRPr="00C5640F">
        <w:rPr>
          <w:rFonts w:ascii="Times New Roman" w:hAnsi="Times New Roman" w:cs="Times New Roman"/>
          <w:sz w:val="24"/>
          <w:szCs w:val="24"/>
          <w:shd w:val="clear" w:color="auto" w:fill="FFFFFF"/>
        </w:rPr>
        <w:t>, 2804.</w:t>
      </w:r>
    </w:p>
    <w:p w14:paraId="0FF5BE83" w14:textId="77777777" w:rsidR="00C5640F" w:rsidRPr="00C5640F" w:rsidRDefault="002F264B" w:rsidP="00C5640F">
      <w:pPr>
        <w:spacing w:line="480" w:lineRule="auto"/>
        <w:ind w:left="720" w:hanging="720"/>
        <w:jc w:val="both"/>
        <w:rPr>
          <w:rFonts w:ascii="Times New Roman" w:hAnsi="Times New Roman" w:cs="Times New Roman"/>
          <w:sz w:val="24"/>
          <w:szCs w:val="24"/>
          <w:shd w:val="clear" w:color="auto" w:fill="FFFFFF"/>
        </w:rPr>
      </w:pPr>
      <w:r w:rsidRPr="00C5640F">
        <w:rPr>
          <w:rFonts w:ascii="Times New Roman" w:hAnsi="Times New Roman" w:cs="Times New Roman"/>
          <w:sz w:val="24"/>
          <w:szCs w:val="24"/>
          <w:shd w:val="clear" w:color="auto" w:fill="FFFFFF"/>
        </w:rPr>
        <w:t>Van Calster, G. (2016). </w:t>
      </w:r>
      <w:r w:rsidRPr="00C5640F">
        <w:rPr>
          <w:rFonts w:ascii="Times New Roman" w:hAnsi="Times New Roman" w:cs="Times New Roman"/>
          <w:i/>
          <w:iCs/>
          <w:sz w:val="24"/>
          <w:szCs w:val="24"/>
          <w:shd w:val="clear" w:color="auto" w:fill="FFFFFF"/>
        </w:rPr>
        <w:t>European private international law</w:t>
      </w:r>
      <w:r w:rsidRPr="00C5640F">
        <w:rPr>
          <w:rFonts w:ascii="Times New Roman" w:hAnsi="Times New Roman" w:cs="Times New Roman"/>
          <w:sz w:val="24"/>
          <w:szCs w:val="24"/>
          <w:shd w:val="clear" w:color="auto" w:fill="FFFFFF"/>
        </w:rPr>
        <w:t>. Bloomsbury Publishing.</w:t>
      </w:r>
    </w:p>
    <w:sectPr w:rsidR="00C5640F" w:rsidRPr="00C5640F" w:rsidSect="00C564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F3754C" w14:textId="77777777" w:rsidR="00805A9C" w:rsidRDefault="00805A9C">
      <w:pPr>
        <w:spacing w:after="0" w:line="240" w:lineRule="auto"/>
      </w:pPr>
      <w:r>
        <w:separator/>
      </w:r>
    </w:p>
  </w:endnote>
  <w:endnote w:type="continuationSeparator" w:id="0">
    <w:p w14:paraId="01316B91" w14:textId="77777777" w:rsidR="00805A9C" w:rsidRDefault="00805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F4644B" w14:textId="77777777" w:rsidR="00805A9C" w:rsidRDefault="00805A9C">
      <w:pPr>
        <w:spacing w:after="0" w:line="240" w:lineRule="auto"/>
      </w:pPr>
      <w:r>
        <w:separator/>
      </w:r>
    </w:p>
  </w:footnote>
  <w:footnote w:type="continuationSeparator" w:id="0">
    <w:p w14:paraId="1FD6C6CF" w14:textId="77777777" w:rsidR="00805A9C" w:rsidRDefault="00805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41491484"/>
      <w:docPartObj>
        <w:docPartGallery w:val="Page Numbers (Top of Page)"/>
        <w:docPartUnique/>
      </w:docPartObj>
    </w:sdtPr>
    <w:sdtEndPr>
      <w:rPr>
        <w:noProof/>
      </w:rPr>
    </w:sdtEndPr>
    <w:sdtContent>
      <w:p w14:paraId="1BA5895B" w14:textId="7CCBF5B3" w:rsidR="00C5640F" w:rsidRPr="00A04331" w:rsidRDefault="002F264B" w:rsidP="00A04331">
        <w:pPr>
          <w:pStyle w:val="Header"/>
          <w:spacing w:line="480" w:lineRule="auto"/>
          <w:jc w:val="right"/>
          <w:rPr>
            <w:rFonts w:ascii="Times New Roman" w:hAnsi="Times New Roman" w:cs="Times New Roman"/>
            <w:sz w:val="24"/>
            <w:szCs w:val="24"/>
          </w:rPr>
        </w:pPr>
        <w:r w:rsidRPr="00A04331">
          <w:rPr>
            <w:rFonts w:ascii="Times New Roman" w:hAnsi="Times New Roman" w:cs="Times New Roman"/>
            <w:sz w:val="24"/>
            <w:szCs w:val="24"/>
          </w:rPr>
          <w:t>ASSET RECOVERY</w:t>
        </w:r>
        <w:r w:rsidRPr="00A04331">
          <w:rPr>
            <w:rFonts w:ascii="Times New Roman" w:hAnsi="Times New Roman" w:cs="Times New Roman"/>
            <w:sz w:val="24"/>
            <w:szCs w:val="24"/>
          </w:rPr>
          <w:tab/>
        </w:r>
        <w:r w:rsidRPr="00A04331">
          <w:rPr>
            <w:rFonts w:ascii="Times New Roman" w:hAnsi="Times New Roman" w:cs="Times New Roman"/>
            <w:sz w:val="24"/>
            <w:szCs w:val="24"/>
          </w:rPr>
          <w:tab/>
        </w:r>
        <w:r w:rsidRPr="00A04331">
          <w:rPr>
            <w:rFonts w:ascii="Times New Roman" w:hAnsi="Times New Roman" w:cs="Times New Roman"/>
            <w:sz w:val="24"/>
            <w:szCs w:val="24"/>
          </w:rPr>
          <w:fldChar w:fldCharType="begin"/>
        </w:r>
        <w:r w:rsidRPr="00A04331">
          <w:rPr>
            <w:rFonts w:ascii="Times New Roman" w:hAnsi="Times New Roman" w:cs="Times New Roman"/>
            <w:sz w:val="24"/>
            <w:szCs w:val="24"/>
          </w:rPr>
          <w:instrText xml:space="preserve"> PAGE   \* MERGEFORMAT </w:instrText>
        </w:r>
        <w:r w:rsidRPr="00A04331">
          <w:rPr>
            <w:rFonts w:ascii="Times New Roman" w:hAnsi="Times New Roman" w:cs="Times New Roman"/>
            <w:sz w:val="24"/>
            <w:szCs w:val="24"/>
          </w:rPr>
          <w:fldChar w:fldCharType="separate"/>
        </w:r>
        <w:r w:rsidR="00E81DA9" w:rsidRPr="00A04331">
          <w:rPr>
            <w:rFonts w:ascii="Times New Roman" w:hAnsi="Times New Roman" w:cs="Times New Roman"/>
            <w:noProof/>
            <w:sz w:val="24"/>
            <w:szCs w:val="24"/>
          </w:rPr>
          <w:t>2</w:t>
        </w:r>
        <w:r w:rsidRPr="00A04331">
          <w:rPr>
            <w:rFonts w:ascii="Times New Roman" w:hAnsi="Times New Roman" w:cs="Times New Roman"/>
            <w:noProof/>
            <w:sz w:val="24"/>
            <w:szCs w:val="24"/>
          </w:rPr>
          <w:fldChar w:fldCharType="end"/>
        </w:r>
      </w:p>
    </w:sdtContent>
  </w:sdt>
  <w:p w14:paraId="38932AD2" w14:textId="77777777" w:rsidR="00C5640F" w:rsidRDefault="00C564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CB222" w14:textId="77777777" w:rsidR="00C5640F" w:rsidRPr="00C5640F" w:rsidRDefault="002F264B">
    <w:pPr>
      <w:pStyle w:val="Header"/>
      <w:rPr>
        <w:rFonts w:ascii="Times New Roman" w:hAnsi="Times New Roman" w:cs="Times New Roman"/>
        <w:sz w:val="24"/>
        <w:szCs w:val="24"/>
      </w:rPr>
    </w:pPr>
    <w:r w:rsidRPr="00C5640F">
      <w:rPr>
        <w:rFonts w:ascii="Times New Roman" w:hAnsi="Times New Roman" w:cs="Times New Roman"/>
        <w:sz w:val="24"/>
        <w:szCs w:val="24"/>
      </w:rPr>
      <w:t xml:space="preserve">Running Head: ASSET RECOVERY </w:t>
    </w:r>
    <w:r w:rsidRPr="00C5640F">
      <w:rPr>
        <w:rFonts w:ascii="Times New Roman" w:hAnsi="Times New Roman" w:cs="Times New Roman"/>
        <w:sz w:val="24"/>
        <w:szCs w:val="24"/>
      </w:rPr>
      <w:tab/>
    </w:r>
    <w:r w:rsidRPr="00C5640F">
      <w:rPr>
        <w:rFonts w:ascii="Times New Roman" w:hAnsi="Times New Roman" w:cs="Times New Roman"/>
        <w:sz w:val="24"/>
        <w:szCs w:val="24"/>
      </w:rPr>
      <w:tab/>
    </w:r>
    <w:r w:rsidRPr="00C5640F">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5C22"/>
    <w:rsid w:val="00000748"/>
    <w:rsid w:val="002307EA"/>
    <w:rsid w:val="002F264B"/>
    <w:rsid w:val="00307BBF"/>
    <w:rsid w:val="003946D6"/>
    <w:rsid w:val="003B6CFD"/>
    <w:rsid w:val="00805A9C"/>
    <w:rsid w:val="00A04331"/>
    <w:rsid w:val="00B850D9"/>
    <w:rsid w:val="00C5640F"/>
    <w:rsid w:val="00CC689D"/>
    <w:rsid w:val="00CF076A"/>
    <w:rsid w:val="00E81DA9"/>
    <w:rsid w:val="00FC5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1DB4C"/>
  <w15:docId w15:val="{E195775B-8CB6-408D-AB8F-9B03F16C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4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40F"/>
  </w:style>
  <w:style w:type="paragraph" w:styleId="Footer">
    <w:name w:val="footer"/>
    <w:basedOn w:val="Normal"/>
    <w:link w:val="FooterChar"/>
    <w:uiPriority w:val="99"/>
    <w:unhideWhenUsed/>
    <w:rsid w:val="00C564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4</cp:revision>
  <dcterms:created xsi:type="dcterms:W3CDTF">2020-10-11T13:22:00Z</dcterms:created>
  <dcterms:modified xsi:type="dcterms:W3CDTF">2020-10-11T13:26:00Z</dcterms:modified>
</cp:coreProperties>
</file>